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Стоматология детская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детская | Записей: 1 | Кейс: 1 | Вопросов: 12</w:t>
      </w:r>
    </w:p>
    <w:p>
      <w:r>
        <w:br w:type="page"/>
      </w:r>
    </w:p>
    <w:p>
      <w:pPr>
        <w:pStyle w:val="Heading1"/>
      </w:pPr>
      <w:r>
        <w:t>Стоматология детская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детская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обратились родители с ребенком 14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незначительную боль при приеме сладкого и кислого.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Жалобы на боль появились неделю назад.</w:t>
      </w:r>
    </w:p>
    <w:p>
      <w:pPr>
        <w:spacing w:after="58"/>
      </w:pPr>
      <w:r>
        <w:rPr>
          <w:b w:val="0"/>
          <w:i w:val="0"/>
        </w:rPr>
        <w:t>* К врачу не обращались.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Грудное вскармливание длилось до 1 года. Ребенок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Перенесенные заболевания: ОРВИ. Гигиенический уход за полостью рта нерегулярный.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открывание рта свободное, региональные лимфатические узлы не увеличены, безболезненны.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</w:tblGrid>
      <w:tr>
        <w:tc>
          <w:tcPr>
            <w:tcW w:type="dxa" w:w="929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?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||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1.8|1.7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1.6|1.5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1.4|1.3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1.2|1.1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2.1|2.2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2.3|2.4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2.5|2.6|2.7|2.8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4.6|4.5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4.4|4.3</w:t>
            </w:r>
          </w:p>
        </w:tc>
      </w:tr>
      <w:tr>
        <w:tc>
          <w:tcPr>
            <w:tcW w:type="dxa" w:w="929"/>
          </w:tcPr>
          <w:p>
            <w:r>
              <w:rPr>
                <w:b w:val="0"/>
                <w:i w:val="0"/>
              </w:rPr>
              <w:t>4.2|4.1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3.7|3.8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П||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*Состояние слизистой оболочки рта, десен, альвеолярных отростков и неба:**</w:t>
        <w:br/>
        <w:t>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постоянный.</w:t>
      </w:r>
    </w:p>
    <w:p>
      <w:pPr>
        <w:spacing w:after="58"/>
      </w:pPr>
      <w:r>
        <w:rPr>
          <w:b w:val="0"/>
          <w:i w:val="0"/>
        </w:rPr>
        <w:t>*Локальный статус:*</w:t>
      </w:r>
    </w:p>
    <w:p>
      <w:r>
        <w:drawing>
          <wp:inline xmlns:a="http://schemas.openxmlformats.org/drawingml/2006/main" xmlns:pic="http://schemas.openxmlformats.org/drawingml/2006/picture">
            <wp:extent cx="5303520" cy="314356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1a5a70b92c1c48c94cd7a4d4b2e69ec1ecf17d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1435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васильева7_01.11_рис1.jpg</w:t>
      </w:r>
    </w:p>
    <w:p>
      <w:r>
        <w:drawing>
          <wp:inline xmlns:a="http://schemas.openxmlformats.org/drawingml/2006/main" xmlns:pic="http://schemas.openxmlformats.org/drawingml/2006/picture">
            <wp:extent cx="5303520" cy="389528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20a177c5709f3d11097bd4e403a0def0724be1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9528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васильева7_01.11_рис2.jpg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клиническим методам обследования, которые необходимо провести  для постановки диагноза,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осмотр с помощью стоматологического зеркала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индекса ИГР-У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зондирование кариозной полости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индекса КПУ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витальное окрашивание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осмотр с помощью стоматологического зеркала; зондирование кариозной полости</w:t>
      </w:r>
    </w:p>
    <w:p>
      <w:pPr>
        <w:ind w:left="504"/>
      </w:pPr>
      <w:r>
        <w:rPr>
          <w:b w:val="0"/>
          <w:i/>
        </w:rPr>
        <w:t>Инструментальное обследование проводят с целью обнаружения кариозных дефектов зубов.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Инструментальное обследование проводят с целью обнаружения кариозных дефектов зубов.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клинических методов обследования</w:t>
      </w:r>
    </w:p>
    <w:p>
      <w:pPr>
        <w:pStyle w:val="Heading3"/>
      </w:pPr>
      <w:r>
        <w:t>3.1. Осмотр с помощью стоматологического зеркала</w:t>
      </w:r>
    </w:p>
    <w:p>
      <w:pPr>
        <w:spacing w:after="58"/>
      </w:pPr>
      <w:r>
        <w:rPr>
          <w:b w:val="0"/>
          <w:i w:val="0"/>
        </w:rPr>
        <w:t>Визуально определяется дефект твердых тканей зуба 1.2 на мезиальной поверхности.</w:t>
      </w:r>
    </w:p>
    <w:p>
      <w:pPr>
        <w:pStyle w:val="Heading3"/>
      </w:pPr>
      <w:r>
        <w:t>3.2. Зондирование кариозной полости</w:t>
      </w:r>
    </w:p>
    <w:p>
      <w:pPr>
        <w:spacing w:after="58"/>
      </w:pPr>
      <w:r>
        <w:rPr>
          <w:b w:val="0"/>
          <w:i w:val="0"/>
        </w:rPr>
        <w:t>Зондирование слабо болезненно в области эмалево-дентинной границы.</w:t>
      </w:r>
    </w:p>
    <w:p>
      <w:pPr>
        <w:pStyle w:val="Heading3"/>
      </w:pPr>
      <w:r>
        <w:t>3.3. Определение индекса КПУ</w:t>
      </w:r>
    </w:p>
    <w:p>
      <w:pPr>
        <w:spacing w:after="58"/>
      </w:pPr>
      <w:r>
        <w:rPr>
          <w:b w:val="0"/>
          <w:i w:val="0"/>
        </w:rPr>
        <w:t>Значение индекса равно 4.</w:t>
      </w:r>
    </w:p>
    <w:p>
      <w:pPr>
        <w:pStyle w:val="Heading3"/>
      </w:pPr>
      <w:r>
        <w:t>3.5. Определение индекса ИГР-У</w:t>
      </w:r>
    </w:p>
    <w:p>
      <w:pPr>
        <w:spacing w:after="58"/>
      </w:pPr>
      <w:r>
        <w:rPr>
          <w:b w:val="0"/>
          <w:i w:val="0"/>
        </w:rPr>
        <w:t>Значение  ИГР-У равно 1,5.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дополнительным методам обследования для постановки диагноза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гальванометрию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реопарадонтографию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электроодонтодиагностику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периотестометрию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рентгенографию; электроодонтодиагностику</w:t>
      </w:r>
    </w:p>
    <w:p>
      <w:pPr>
        <w:ind w:left="504"/>
      </w:pPr>
      <w:r>
        <w:rPr>
          <w:b w:val="0"/>
          <w:i/>
        </w:rPr>
        <w:t>Метод рентгенографии позволяет обнаружить скрытые кариозные полости и оценить объем поражения.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 ЭОД позволяет оценить реакцию пульпы на внешние раздражители.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дополнительных методов обследования</w:t>
      </w:r>
    </w:p>
    <w:p>
      <w:pPr>
        <w:pStyle w:val="Heading3"/>
      </w:pPr>
      <w:r>
        <w:t>5.1. Рентгенография</w:t>
      </w:r>
    </w:p>
    <w:p>
      <w:pPr>
        <w:spacing w:after="58"/>
      </w:pPr>
      <w:r>
        <w:rPr>
          <w:b w:val="0"/>
          <w:i w:val="0"/>
        </w:rPr>
        <w:t>На внутриротовой контактной рентгенограмме зуба 1.2 на мезиальной поверхности определяется неглубокая кариозная полость в средних слоях дентина.</w:t>
      </w:r>
    </w:p>
    <w:p>
      <w:pPr>
        <w:pStyle w:val="Heading3"/>
      </w:pPr>
      <w:r>
        <w:t>5.2. Электроодонтодиагностика</w:t>
      </w:r>
    </w:p>
    <w:p>
      <w:pPr>
        <w:spacing w:after="58"/>
      </w:pPr>
      <w:r>
        <w:rPr>
          <w:b w:val="0"/>
          <w:i w:val="0"/>
        </w:rPr>
        <w:t>Значение ЭОД равно 10 мкА.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Предполагаемым основным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Кариес дентина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Острый пульпит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пульпит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Кариес эмали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Кариес дентина</w:t>
      </w:r>
    </w:p>
    <w:p>
      <w:pPr>
        <w:ind w:left="504"/>
      </w:pPr>
      <w:r>
        <w:rPr>
          <w:b w:val="0"/>
          <w:i/>
        </w:rPr>
        <w:t>Диагноз поставлен на основании клинических данных и данных дополнительных методов обследования.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K02.1Кариес дентина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Корень зуба 1.2 в 14 лет соответствует стадии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незакрытой верхушки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несформированного корня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сформированного корня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физиологической резорбции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сформированного корня</w:t>
      </w:r>
    </w:p>
    <w:p>
      <w:pPr>
        <w:ind w:left="504"/>
      </w:pPr>
      <w:r>
        <w:rPr>
          <w:b w:val="0"/>
          <w:i/>
        </w:rPr>
        <w:t>Окончание формирования корня постоянных латеральных резцов происходит к 11 годам.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Дифференциальную диагностику в данном случае необходимо провести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острым апикальным периодонтитом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хроническим пульпитом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хроническим пародонтитом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кариесом эмали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хроническим пульпитом</w:t>
      </w:r>
    </w:p>
    <w:p>
      <w:pPr>
        <w:ind w:left="504"/>
      </w:pPr>
      <w:r>
        <w:rPr>
          <w:b w:val="0"/>
          <w:i/>
        </w:rPr>
        <w:t>Кариес дентина необходимо дифференцировать с хроническим пульпитом.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Основным методом лечения в данном случае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покрытие зуба стальной защитной коронкой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препарирование с последующей реставрацией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витальная ампутация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реминерализирующая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препарирование с последующей реставрацией</w:t>
      </w:r>
    </w:p>
    <w:p>
      <w:pPr>
        <w:ind w:left="504"/>
      </w:pPr>
      <w:r>
        <w:rPr>
          <w:b w:val="0"/>
          <w:i/>
        </w:rPr>
        <w:t>Лечение кариеса дентина заключается в препарировании твердых тканей и последующей реставрации.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Кариозный дефект зуба 1.2 по локализации относится к +___+ классу по Блеку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V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III</w:t>
      </w:r>
    </w:p>
    <w:p>
      <w:pPr>
        <w:ind w:left="504"/>
      </w:pPr>
      <w:r>
        <w:rPr>
          <w:b w:val="0"/>
          <w:i/>
        </w:rPr>
        <w:t>Кариозная полость локализована на контактной поверхности зуба 1.2 без нарушения режущего края.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обезболивания при лечении зуба 1.2 необходимо провести анестезию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торусальную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палатинальную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инфильтрационную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мандибулярную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инфильтрационную</w:t>
      </w:r>
    </w:p>
    <w:p>
      <w:pPr>
        <w:ind w:left="504"/>
      </w:pPr>
      <w:r>
        <w:rPr>
          <w:b w:val="0"/>
          <w:i/>
        </w:rPr>
        <w:t>Инфильтрационную анестезию применяют при лечении временных и постоянных зубов, операциях на мягких тканях, вмешательствах на альвеолярном отростке верхней челюсти на уровне любого зуба.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пломбирования дефекта в данном случае можно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силико-фосфатные цементы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серебряную амальгаму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цинк-фосфатный цементы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композиционные материалы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композиционные материалы</w:t>
      </w:r>
    </w:p>
    <w:p>
      <w:pPr>
        <w:ind w:left="504"/>
      </w:pPr>
      <w:r>
        <w:rPr>
          <w:b w:val="0"/>
          <w:i/>
        </w:rPr>
        <w:t>Учитывая локализацию кариозной полости и возраст пациента, предпочтение в выборе пломбировочного материала отдается в пользу композиционных материалов.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пломбировании полости цементами отсутствует этап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кондиционирования 37% гелем ортофосфорной кислоты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моделирования анатомической формы зуба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полирования реставрации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изоляции рабочего поля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кондиционирования 37% гелем ортофосфорной кислоты</w:t>
      </w:r>
    </w:p>
    <w:p>
      <w:pPr>
        <w:ind w:left="504"/>
      </w:pPr>
      <w:r>
        <w:rPr>
          <w:b w:val="0"/>
          <w:i/>
        </w:rPr>
        <w:t>При пломбировании цементами отсутствует этап протравливания твердых тканей зуба 37% гелем ортофосфорной кислоты.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осуществления индивидуальной гигиены полости рта данному пациенту рекомендуется использование зубной щетки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мягкой щетиной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 натуральных волокон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жесткой щетиной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средней степени жесткости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средней степени жесткости</w:t>
      </w:r>
    </w:p>
    <w:p>
      <w:pPr>
        <w:ind w:left="504"/>
      </w:pPr>
      <w:r>
        <w:rPr>
          <w:b w:val="0"/>
          <w:i/>
        </w:rPr>
        <w:t>Детям и подросткам рекомендуется использовать зубные щетки средней степени жесткости.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Оптимальное содержание фторидов в зубной пасте для детей 1 группы здоровья составляет  (в ррm)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1500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900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1500</w:t>
      </w:r>
    </w:p>
    <w:p>
      <w:pPr>
        <w:ind w:left="504"/>
      </w:pPr>
      <w:r>
        <w:rPr>
          <w:b w:val="0"/>
          <w:i/>
        </w:rPr>
        <w:t>Для детей школьного возраста 1 группы здоровья оптимальное содержание фторида в зубной пасте – 1000-1500 ppm.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hyperlink" Target="https://library.mededtech.ru/rest/documents/ISBN9785970461730/?anchor=paragraph_bj1t2p#paragraph_bj1t2p" TargetMode="External"/><Relationship Id="rId12" Type="http://schemas.openxmlformats.org/officeDocument/2006/relationships/hyperlink" Target="https://library.mededtech.ru/rest/documents/ISBN9785970461730/?anchor=paragraph_cdir6p#paragraph_cdir6p" TargetMode="External"/><Relationship Id="rId13" Type="http://schemas.openxmlformats.org/officeDocument/2006/relationships/hyperlink" Target="https://library.mededtech.ru/rest/documents/ISBN9785970461730/?anchor=paragraph_8e4l3t#paragraph_8e4l3t" TargetMode="External"/><Relationship Id="rId14" Type="http://schemas.openxmlformats.org/officeDocument/2006/relationships/hyperlink" Target="https://library.mededtech.ru/rest/documents/ISBN9785970461730/?anchor=paragraph_4o5v75#paragraph_4o5v75" TargetMode="External"/><Relationship Id="rId15" Type="http://schemas.openxmlformats.org/officeDocument/2006/relationships/hyperlink" Target="https://library.mededtech.ru/rest/documents/ISBN9785970461730/?anchor=paragraph_5v5f68#paragraph_5v5f68" TargetMode="External"/><Relationship Id="rId16" Type="http://schemas.openxmlformats.org/officeDocument/2006/relationships/hyperlink" Target="https://library.mededtech.ru/rest/documents/ISBN9785970461730/?anchor=list_item_3h1tct#list_item_3h1tct" TargetMode="External"/><Relationship Id="rId17" Type="http://schemas.openxmlformats.org/officeDocument/2006/relationships/hyperlink" Target="https://library.mededtech.ru/rest/documents/ISBN9785970461730/?anchor=paragraph_9o8pm7#paragraph_9o8pm7" TargetMode="External"/><Relationship Id="rId18" Type="http://schemas.openxmlformats.org/officeDocument/2006/relationships/hyperlink" Target="https://library.mededtech.ru/rest/documents/ISBN9785970461730/?anchor=paragraph_cas9sc#paragraph_cas9sc" TargetMode="External"/><Relationship Id="rId19" Type="http://schemas.openxmlformats.org/officeDocument/2006/relationships/hyperlink" Target="https://library.mededtech.ru/rest/documents/ISBN9785970461730/?anchor=paragraph_3efc46#paragraph_3efc46" TargetMode="External"/><Relationship Id="rId20" Type="http://schemas.openxmlformats.org/officeDocument/2006/relationships/hyperlink" Target="https://library.mededtech.ru/rest/documents/ISBN9785970461730/?anchor=paragraph_54cg5s#paragraph_54cg5s" TargetMode="External"/><Relationship Id="rId21" Type="http://schemas.openxmlformats.org/officeDocument/2006/relationships/hyperlink" Target="https://library.mededtech.ru/rest/documents/ISBN9785970461730/?anchor=list_item_ihjj14#list_item_ihjj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